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Filipstad kommunfullmäktige</w:t>
      </w:r>
    </w:p>
    <w:p>
      <w:pPr>
        <w:pStyle w:val="Heading1"/>
      </w:pPr>
      <w:r>
        <w:t xml:space="preserve">Tidiga insatser för läsning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Filipstad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Filipstads meritvärde årskurs 9 ligger på 195 poäng (Kolada 2024), lägre än läns- och rikssnitt. Läsförståelsen bland elever i årskurs 3 har sjunkit enligt Skolverkets SALSA-statistik. Tidiga insatser med extra läsundervisning och fler speciallärare ger dokumenterat goda resultat enligt Skolforskningsinstitutet.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Filipstad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läsdiagnos i årskurs 1–3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1,2 mnkr årligen för två nya speciallärartjänster med inriktning läs- och skrivutveckling.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samtliga grundskolor ska använda evidensbaserade läsmetoder som är certifierade av Skolverket.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läsresultat per skola i kommunens årsredovisning från 2027.</w:t>
      </w:r>
    </w:p>
    <w:p>
      <w:pPr>
        <w:spacing w:before="360"/>
      </w:pPr>
    </w:p>
    <w:p>
      <w:r>
        <w:t xml:space="preserve">Filipstad,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Filipstad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2026-07-14T02:55:20.651Z</dcterms:created>
  <dcterms:modified xsi:type="dcterms:W3CDTF">2026-07-14T02:55:20.651Z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